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F8" w:rsidRPr="000C3B49" w:rsidRDefault="009E1CF8" w:rsidP="009E1CF8">
      <w:pPr>
        <w:jc w:val="center"/>
        <w:rPr>
          <w:b/>
          <w:sz w:val="28"/>
          <w:szCs w:val="28"/>
        </w:rPr>
      </w:pPr>
      <w:r w:rsidRPr="000C3B49">
        <w:rPr>
          <w:b/>
          <w:sz w:val="28"/>
          <w:szCs w:val="28"/>
        </w:rPr>
        <w:t>Case Study 2: Family involvement in Care</w:t>
      </w:r>
    </w:p>
    <w:p w:rsidR="009E1CF8" w:rsidRPr="00EE0EAA" w:rsidRDefault="009E1CF8" w:rsidP="009E1CF8">
      <w:pPr>
        <w:jc w:val="center"/>
        <w:rPr>
          <w:color w:val="FF0000"/>
          <w:sz w:val="24"/>
          <w:szCs w:val="24"/>
        </w:rPr>
      </w:pPr>
      <w:r w:rsidRPr="00EE0EAA">
        <w:rPr>
          <w:color w:val="FF0000"/>
          <w:sz w:val="24"/>
          <w:szCs w:val="24"/>
        </w:rPr>
        <w:t>(Adapted from Moyle et al. 2014, p.131)</w:t>
      </w:r>
    </w:p>
    <w:p w:rsidR="009E1CF8" w:rsidRPr="000C3B49" w:rsidRDefault="006F0A67">
      <w:pPr>
        <w:rPr>
          <w:sz w:val="24"/>
          <w:szCs w:val="24"/>
        </w:rPr>
      </w:pPr>
      <w:r w:rsidRPr="00EE0EAA">
        <w:rPr>
          <w:b/>
          <w:color w:val="FF0000"/>
          <w:sz w:val="24"/>
          <w:szCs w:val="24"/>
        </w:rPr>
        <w:t>Aims</w:t>
      </w:r>
      <w:r w:rsidRPr="000C3B49">
        <w:rPr>
          <w:b/>
          <w:sz w:val="24"/>
          <w:szCs w:val="24"/>
        </w:rPr>
        <w:t xml:space="preserve">: </w:t>
      </w:r>
      <w:r w:rsidRPr="000C3B49">
        <w:rPr>
          <w:sz w:val="24"/>
          <w:szCs w:val="24"/>
        </w:rPr>
        <w:t>To examine the role of continuing family care in a RACF setting.</w:t>
      </w:r>
      <w:r w:rsidRPr="000C3B49">
        <w:rPr>
          <w:b/>
          <w:sz w:val="24"/>
          <w:szCs w:val="24"/>
        </w:rPr>
        <w:t xml:space="preserve"> </w:t>
      </w:r>
      <w:r w:rsidRPr="000C3B49">
        <w:rPr>
          <w:sz w:val="24"/>
          <w:szCs w:val="24"/>
        </w:rPr>
        <w:t xml:space="preserve">To understand how family involvement in long-term care benefits staff, family and residents alike? To appraise the importance of life biography in quality of care and communicating value in the family’s contribution to everyday nursing care in RACFs. To evaluate potential barriers to family involvement and how potential conflict can be better managed. </w:t>
      </w:r>
      <w:r w:rsidR="009E1CF8" w:rsidRPr="000C3B49">
        <w:rPr>
          <w:b/>
          <w:sz w:val="24"/>
          <w:szCs w:val="24"/>
        </w:rPr>
        <w:t>Concepts:</w:t>
      </w:r>
      <w:r w:rsidRPr="000C3B49">
        <w:rPr>
          <w:b/>
          <w:sz w:val="24"/>
          <w:szCs w:val="24"/>
        </w:rPr>
        <w:t xml:space="preserve"> </w:t>
      </w:r>
      <w:r w:rsidRPr="000C3B49">
        <w:rPr>
          <w:sz w:val="24"/>
          <w:szCs w:val="24"/>
        </w:rPr>
        <w:t>Family involvement, RACFs, life biography, being valued, barriers to partnership, best practice/ management, quality of care.</w:t>
      </w:r>
    </w:p>
    <w:p w:rsidR="009E1CF8" w:rsidRPr="000C3B49" w:rsidRDefault="009E1CF8">
      <w:pPr>
        <w:rPr>
          <w:sz w:val="24"/>
          <w:szCs w:val="24"/>
        </w:rPr>
      </w:pPr>
      <w:r w:rsidRPr="00EE0EAA">
        <w:rPr>
          <w:b/>
          <w:color w:val="FF0000"/>
          <w:sz w:val="24"/>
          <w:szCs w:val="24"/>
        </w:rPr>
        <w:t>Case study</w:t>
      </w:r>
      <w:r w:rsidRPr="000C3B49">
        <w:rPr>
          <w:sz w:val="24"/>
          <w:szCs w:val="24"/>
        </w:rPr>
        <w:t>: Bill is an 87 year old ex-engineer who was diagnosed with vascular dementia six years ago.</w:t>
      </w:r>
      <w:r w:rsidR="00E51740" w:rsidRPr="000C3B49">
        <w:rPr>
          <w:sz w:val="24"/>
          <w:szCs w:val="24"/>
        </w:rPr>
        <w:t xml:space="preserve"> When his wife passed away five years ago it became clear to his two daughters that Bill could not care for himself at home. He agreed to move into long-term care within an easy distance from one of his daughters. Both daughters were keen to be involved in Bill’s care and care decisions were readily agreed. Both daughters when informed about a Family </w:t>
      </w:r>
      <w:r w:rsidR="00CA5C32" w:rsidRPr="000C3B49">
        <w:rPr>
          <w:sz w:val="24"/>
          <w:szCs w:val="24"/>
        </w:rPr>
        <w:t>Involvement</w:t>
      </w:r>
      <w:r w:rsidR="00E51740" w:rsidRPr="000C3B49">
        <w:rPr>
          <w:sz w:val="24"/>
          <w:szCs w:val="24"/>
        </w:rPr>
        <w:t xml:space="preserve"> in Care (FIC) intervention running at </w:t>
      </w:r>
      <w:r w:rsidR="00CA5C32" w:rsidRPr="000C3B49">
        <w:rPr>
          <w:sz w:val="24"/>
          <w:szCs w:val="24"/>
        </w:rPr>
        <w:t>the</w:t>
      </w:r>
      <w:r w:rsidR="00E51740" w:rsidRPr="000C3B49">
        <w:rPr>
          <w:sz w:val="24"/>
          <w:szCs w:val="24"/>
        </w:rPr>
        <w:t xml:space="preserve"> RACF saw </w:t>
      </w:r>
      <w:r w:rsidR="00CA5C32" w:rsidRPr="000C3B49">
        <w:rPr>
          <w:sz w:val="24"/>
          <w:szCs w:val="24"/>
        </w:rPr>
        <w:t>this</w:t>
      </w:r>
      <w:r w:rsidR="00E51740" w:rsidRPr="000C3B49">
        <w:rPr>
          <w:sz w:val="24"/>
          <w:szCs w:val="24"/>
        </w:rPr>
        <w:t xml:space="preserve"> opportunity to continue to be involved in Bill’s daily care.</w:t>
      </w:r>
    </w:p>
    <w:p w:rsidR="00E51740" w:rsidRPr="000C3B49" w:rsidRDefault="00CA5C32">
      <w:pPr>
        <w:rPr>
          <w:sz w:val="24"/>
          <w:szCs w:val="24"/>
        </w:rPr>
      </w:pPr>
      <w:r w:rsidRPr="000C3B49">
        <w:rPr>
          <w:sz w:val="24"/>
          <w:szCs w:val="24"/>
        </w:rPr>
        <w:t xml:space="preserve">It was arranged through the FIC intervention that one daughter would visit three times a day during lunch meals so she could help Bill to eat as he had recently lost his appetite and had been losing weight. </w:t>
      </w:r>
      <w:r w:rsidR="00E51740" w:rsidRPr="000C3B49">
        <w:rPr>
          <w:sz w:val="24"/>
          <w:szCs w:val="24"/>
        </w:rPr>
        <w:t xml:space="preserve">The second daughter </w:t>
      </w:r>
      <w:r w:rsidR="002A1185" w:rsidRPr="000C3B49">
        <w:rPr>
          <w:sz w:val="24"/>
          <w:szCs w:val="24"/>
        </w:rPr>
        <w:t xml:space="preserve">also </w:t>
      </w:r>
      <w:r w:rsidR="00E51740" w:rsidRPr="000C3B49">
        <w:rPr>
          <w:sz w:val="24"/>
          <w:szCs w:val="24"/>
        </w:rPr>
        <w:t xml:space="preserve">agreed to </w:t>
      </w:r>
      <w:r w:rsidRPr="000C3B49">
        <w:rPr>
          <w:sz w:val="24"/>
          <w:szCs w:val="24"/>
        </w:rPr>
        <w:t>visit</w:t>
      </w:r>
      <w:r w:rsidR="00E51740" w:rsidRPr="000C3B49">
        <w:rPr>
          <w:sz w:val="24"/>
          <w:szCs w:val="24"/>
        </w:rPr>
        <w:t xml:space="preserve"> three times a week to read to Bill as his failing eyesight had reduced his </w:t>
      </w:r>
      <w:r w:rsidRPr="000C3B49">
        <w:rPr>
          <w:sz w:val="24"/>
          <w:szCs w:val="24"/>
        </w:rPr>
        <w:t>opportunity</w:t>
      </w:r>
      <w:r w:rsidR="00E51740" w:rsidRPr="000C3B49">
        <w:rPr>
          <w:sz w:val="24"/>
          <w:szCs w:val="24"/>
        </w:rPr>
        <w:t xml:space="preserve"> to enjoy this previously enjoyed pastime. The daughters asked for Bill to be taken to a small lounge each afternoon where he could enjoy a view of the garden, an </w:t>
      </w:r>
      <w:r w:rsidRPr="000C3B49">
        <w:rPr>
          <w:sz w:val="24"/>
          <w:szCs w:val="24"/>
        </w:rPr>
        <w:t>activity</w:t>
      </w:r>
      <w:r w:rsidR="00E51740" w:rsidRPr="000C3B49">
        <w:rPr>
          <w:sz w:val="24"/>
          <w:szCs w:val="24"/>
        </w:rPr>
        <w:t xml:space="preserve"> he had enjoyed in his later life. This also gave him an opportunity to meet with other residents.</w:t>
      </w:r>
    </w:p>
    <w:p w:rsidR="00E51740" w:rsidRPr="000C3B49" w:rsidRDefault="00CA5C32">
      <w:pPr>
        <w:rPr>
          <w:sz w:val="24"/>
          <w:szCs w:val="24"/>
        </w:rPr>
      </w:pPr>
      <w:r w:rsidRPr="000C3B49">
        <w:rPr>
          <w:sz w:val="24"/>
          <w:szCs w:val="24"/>
        </w:rPr>
        <w:t xml:space="preserve">After one month the staff met with Bill and his daughters to discuss how things were progressing. </w:t>
      </w:r>
      <w:r w:rsidR="00E51740" w:rsidRPr="000C3B49">
        <w:rPr>
          <w:sz w:val="24"/>
          <w:szCs w:val="24"/>
        </w:rPr>
        <w:t xml:space="preserve">Bill expressed that he was delighted to see his </w:t>
      </w:r>
      <w:r w:rsidRPr="000C3B49">
        <w:rPr>
          <w:sz w:val="24"/>
          <w:szCs w:val="24"/>
        </w:rPr>
        <w:t>daughters and he looked forward to</w:t>
      </w:r>
      <w:r w:rsidR="002A1185" w:rsidRPr="000C3B49">
        <w:rPr>
          <w:sz w:val="24"/>
          <w:szCs w:val="24"/>
        </w:rPr>
        <w:t xml:space="preserve"> his</w:t>
      </w:r>
      <w:r w:rsidRPr="000C3B49">
        <w:rPr>
          <w:sz w:val="24"/>
          <w:szCs w:val="24"/>
        </w:rPr>
        <w:t xml:space="preserve"> visit to the quiet lounge in the afternoons. The daughters communicated that they felt valued by the staff for the positive contribution they made to Bill’s life on their visits. The staff </w:t>
      </w:r>
      <w:r w:rsidR="002A1185" w:rsidRPr="000C3B49">
        <w:rPr>
          <w:sz w:val="24"/>
          <w:szCs w:val="24"/>
        </w:rPr>
        <w:t xml:space="preserve">commented that they </w:t>
      </w:r>
      <w:r w:rsidRPr="000C3B49">
        <w:rPr>
          <w:sz w:val="24"/>
          <w:szCs w:val="24"/>
        </w:rPr>
        <w:t>ha</w:t>
      </w:r>
      <w:r w:rsidR="002A1185" w:rsidRPr="000C3B49">
        <w:rPr>
          <w:sz w:val="24"/>
          <w:szCs w:val="24"/>
        </w:rPr>
        <w:t>d</w:t>
      </w:r>
      <w:r w:rsidRPr="000C3B49">
        <w:rPr>
          <w:sz w:val="24"/>
          <w:szCs w:val="24"/>
        </w:rPr>
        <w:t xml:space="preserve"> opportunities to learn about Bill’s social biography and past life as they assisted him to the lounge each afternoon. Bill’s mood had improved and he was also gaining weight.</w:t>
      </w:r>
    </w:p>
    <w:p w:rsidR="00A25E64" w:rsidRPr="00EE0EAA" w:rsidRDefault="00A25E64">
      <w:pPr>
        <w:rPr>
          <w:b/>
          <w:color w:val="FF0000"/>
          <w:sz w:val="24"/>
          <w:szCs w:val="24"/>
        </w:rPr>
      </w:pPr>
      <w:r w:rsidRPr="00EE0EAA">
        <w:rPr>
          <w:b/>
          <w:color w:val="FF0000"/>
          <w:sz w:val="24"/>
          <w:szCs w:val="24"/>
        </w:rPr>
        <w:t>Read the case and reflect on the following questions:</w:t>
      </w:r>
    </w:p>
    <w:p w:rsidR="00A25E64" w:rsidRPr="000C3B49" w:rsidRDefault="00A25E64" w:rsidP="006F0A67">
      <w:pPr>
        <w:pStyle w:val="a3"/>
        <w:numPr>
          <w:ilvl w:val="0"/>
          <w:numId w:val="1"/>
        </w:numPr>
        <w:rPr>
          <w:sz w:val="24"/>
          <w:szCs w:val="24"/>
        </w:rPr>
      </w:pPr>
      <w:r w:rsidRPr="000C3B49">
        <w:rPr>
          <w:sz w:val="24"/>
          <w:szCs w:val="24"/>
        </w:rPr>
        <w:t>What are the key factors that led to the success of family and staff engagement in Bill’s care?</w:t>
      </w:r>
    </w:p>
    <w:p w:rsidR="00A25E64" w:rsidRPr="000C3B49" w:rsidRDefault="00A25E64" w:rsidP="006F0A67">
      <w:pPr>
        <w:pStyle w:val="a3"/>
        <w:numPr>
          <w:ilvl w:val="0"/>
          <w:numId w:val="1"/>
        </w:numPr>
        <w:rPr>
          <w:sz w:val="24"/>
          <w:szCs w:val="24"/>
        </w:rPr>
      </w:pPr>
      <w:r w:rsidRPr="000C3B49">
        <w:rPr>
          <w:sz w:val="24"/>
          <w:szCs w:val="24"/>
        </w:rPr>
        <w:t>How can staff and family work together in partnership to ensure mutual benefit for everyone?</w:t>
      </w:r>
      <w:r w:rsidR="000C3B49">
        <w:rPr>
          <w:sz w:val="24"/>
          <w:szCs w:val="24"/>
        </w:rPr>
        <w:t xml:space="preserve"> ( staff, family Bill)</w:t>
      </w:r>
    </w:p>
    <w:p w:rsidR="006F0A67" w:rsidRPr="000C3B49" w:rsidRDefault="006F0A67" w:rsidP="006F0A67">
      <w:pPr>
        <w:pStyle w:val="a3"/>
        <w:numPr>
          <w:ilvl w:val="0"/>
          <w:numId w:val="1"/>
        </w:numPr>
        <w:rPr>
          <w:sz w:val="24"/>
          <w:szCs w:val="24"/>
        </w:rPr>
      </w:pPr>
      <w:r w:rsidRPr="000C3B49">
        <w:rPr>
          <w:sz w:val="24"/>
          <w:szCs w:val="24"/>
        </w:rPr>
        <w:t>Examine potential barriers to collaborative care involving family and staff in RACFs?</w:t>
      </w:r>
    </w:p>
    <w:p w:rsidR="006F0A67" w:rsidRPr="000C3B49" w:rsidRDefault="006F0A67" w:rsidP="006F0A67">
      <w:pPr>
        <w:pStyle w:val="a3"/>
        <w:numPr>
          <w:ilvl w:val="0"/>
          <w:numId w:val="1"/>
        </w:numPr>
        <w:rPr>
          <w:sz w:val="24"/>
          <w:szCs w:val="24"/>
        </w:rPr>
      </w:pPr>
      <w:r w:rsidRPr="000C3B49">
        <w:rPr>
          <w:sz w:val="24"/>
          <w:szCs w:val="24"/>
        </w:rPr>
        <w:t>How the</w:t>
      </w:r>
      <w:r w:rsidR="007F5BB1" w:rsidRPr="000C3B49">
        <w:rPr>
          <w:sz w:val="24"/>
          <w:szCs w:val="24"/>
        </w:rPr>
        <w:t>se</w:t>
      </w:r>
      <w:r w:rsidRPr="000C3B49">
        <w:rPr>
          <w:sz w:val="24"/>
          <w:szCs w:val="24"/>
        </w:rPr>
        <w:t xml:space="preserve"> barriers </w:t>
      </w:r>
      <w:r w:rsidR="007F5BB1" w:rsidRPr="000C3B49">
        <w:rPr>
          <w:sz w:val="24"/>
          <w:szCs w:val="24"/>
        </w:rPr>
        <w:t xml:space="preserve">be positively </w:t>
      </w:r>
      <w:r w:rsidRPr="000C3B49">
        <w:rPr>
          <w:sz w:val="24"/>
          <w:szCs w:val="24"/>
        </w:rPr>
        <w:t>managed?</w:t>
      </w:r>
    </w:p>
    <w:p w:rsidR="000C3B49" w:rsidRPr="000C3B49" w:rsidRDefault="000C3B49" w:rsidP="000C3B49">
      <w:pPr>
        <w:rPr>
          <w:rFonts w:cs="Arial"/>
          <w:b/>
          <w:bCs/>
          <w:sz w:val="24"/>
          <w:szCs w:val="24"/>
        </w:rPr>
      </w:pPr>
    </w:p>
    <w:tbl>
      <w:tblPr>
        <w:tblW w:w="0" w:type="auto"/>
        <w:tblLayout w:type="fixed"/>
        <w:tblCellMar>
          <w:left w:w="0" w:type="dxa"/>
          <w:right w:w="0" w:type="dxa"/>
        </w:tblCellMar>
        <w:tblLook w:val="0000"/>
      </w:tblPr>
      <w:tblGrid>
        <w:gridCol w:w="5143"/>
        <w:gridCol w:w="426"/>
        <w:gridCol w:w="283"/>
        <w:gridCol w:w="425"/>
        <w:gridCol w:w="346"/>
        <w:gridCol w:w="303"/>
      </w:tblGrid>
      <w:tr w:rsidR="000C3B49" w:rsidRPr="000C3B49" w:rsidTr="008658FB">
        <w:tc>
          <w:tcPr>
            <w:tcW w:w="5143"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hanging="108"/>
              <w:jc w:val="both"/>
              <w:rPr>
                <w:rFonts w:cs="Arial"/>
                <w:sz w:val="24"/>
                <w:szCs w:val="24"/>
              </w:rPr>
            </w:pPr>
            <w:r w:rsidRPr="000C3B49">
              <w:rPr>
                <w:rFonts w:cs="Arial"/>
                <w:b/>
                <w:bCs/>
                <w:color w:val="000000"/>
                <w:sz w:val="24"/>
                <w:szCs w:val="24"/>
              </w:rPr>
              <w:t>Assignment 1 Criteria</w:t>
            </w:r>
          </w:p>
        </w:tc>
        <w:tc>
          <w:tcPr>
            <w:tcW w:w="426" w:type="dxa"/>
            <w:tcBorders>
              <w:top w:val="single" w:sz="8" w:space="0" w:color="auto"/>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b/>
                <w:bCs/>
                <w:color w:val="000000"/>
                <w:sz w:val="24"/>
                <w:szCs w:val="24"/>
              </w:rPr>
              <w:t>U</w:t>
            </w:r>
          </w:p>
        </w:tc>
        <w:tc>
          <w:tcPr>
            <w:tcW w:w="283" w:type="dxa"/>
            <w:tcBorders>
              <w:top w:val="single" w:sz="8" w:space="0" w:color="auto"/>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b/>
                <w:bCs/>
                <w:color w:val="000000"/>
                <w:sz w:val="24"/>
                <w:szCs w:val="24"/>
              </w:rPr>
              <w:t>S</w:t>
            </w:r>
          </w:p>
        </w:tc>
        <w:tc>
          <w:tcPr>
            <w:tcW w:w="425" w:type="dxa"/>
            <w:tcBorders>
              <w:top w:val="single" w:sz="8" w:space="0" w:color="auto"/>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b/>
                <w:bCs/>
                <w:color w:val="000000"/>
                <w:sz w:val="24"/>
                <w:szCs w:val="24"/>
              </w:rPr>
              <w:t>G</w:t>
            </w:r>
          </w:p>
        </w:tc>
        <w:tc>
          <w:tcPr>
            <w:tcW w:w="346" w:type="dxa"/>
            <w:tcBorders>
              <w:top w:val="single" w:sz="8" w:space="0" w:color="auto"/>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b/>
                <w:bCs/>
                <w:color w:val="000000"/>
                <w:sz w:val="24"/>
                <w:szCs w:val="24"/>
              </w:rPr>
              <w:t>V</w:t>
            </w:r>
          </w:p>
        </w:tc>
        <w:tc>
          <w:tcPr>
            <w:tcW w:w="303" w:type="dxa"/>
            <w:tcBorders>
              <w:top w:val="single" w:sz="8" w:space="0" w:color="auto"/>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jc w:val="both"/>
              <w:rPr>
                <w:rFonts w:cs="Arial"/>
                <w:sz w:val="24"/>
                <w:szCs w:val="24"/>
              </w:rPr>
            </w:pPr>
            <w:r w:rsidRPr="000C3B49">
              <w:rPr>
                <w:rFonts w:cs="Arial"/>
                <w:b/>
                <w:bCs/>
                <w:color w:val="000000"/>
                <w:sz w:val="24"/>
                <w:szCs w:val="24"/>
              </w:rPr>
              <w:t>E</w:t>
            </w:r>
          </w:p>
        </w:tc>
      </w:tr>
      <w:tr w:rsidR="000C3B49" w:rsidRPr="000C3B49" w:rsidTr="008658FB">
        <w:tc>
          <w:tcPr>
            <w:tcW w:w="5143" w:type="dxa"/>
            <w:tcBorders>
              <w:top w:val="outset" w:sz="6" w:space="0" w:color="D4D0C8"/>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5"/>
              <w:rPr>
                <w:rFonts w:cs="Arial"/>
                <w:sz w:val="24"/>
                <w:szCs w:val="24"/>
              </w:rPr>
            </w:pPr>
            <w:r w:rsidRPr="000C3B49">
              <w:rPr>
                <w:rFonts w:cs="Arial"/>
                <w:b/>
                <w:i/>
                <w:sz w:val="24"/>
                <w:szCs w:val="24"/>
              </w:rPr>
              <w:t>Comprehension:</w:t>
            </w:r>
            <w:r w:rsidRPr="000C3B49">
              <w:rPr>
                <w:rFonts w:cs="Arial"/>
                <w:sz w:val="24"/>
                <w:szCs w:val="24"/>
              </w:rPr>
              <w:t xml:space="preserve"> Demonstrates a sound understanding the case study (10%)</w:t>
            </w:r>
          </w:p>
          <w:p w:rsidR="000C3B49" w:rsidRPr="000C3B49" w:rsidRDefault="000C3B49" w:rsidP="000C3B49">
            <w:pPr>
              <w:pStyle w:val="a3"/>
              <w:numPr>
                <w:ilvl w:val="0"/>
                <w:numId w:val="2"/>
              </w:numPr>
              <w:spacing w:after="0" w:line="240" w:lineRule="atLeast"/>
              <w:rPr>
                <w:rFonts w:cs="Arial"/>
                <w:sz w:val="24"/>
                <w:szCs w:val="24"/>
              </w:rPr>
            </w:pPr>
            <w:r w:rsidRPr="000C3B49">
              <w:rPr>
                <w:rFonts w:cs="Arial"/>
                <w:sz w:val="24"/>
                <w:szCs w:val="24"/>
              </w:rPr>
              <w:t>Shows a sound knowledge of the key issues/concepts relevant to case study</w:t>
            </w:r>
          </w:p>
        </w:tc>
        <w:tc>
          <w:tcPr>
            <w:tcW w:w="42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28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p>
        </w:tc>
        <w:tc>
          <w:tcPr>
            <w:tcW w:w="425"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4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0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jc w:val="both"/>
              <w:rPr>
                <w:rFonts w:cs="Arial"/>
                <w:sz w:val="24"/>
                <w:szCs w:val="24"/>
              </w:rPr>
            </w:pPr>
            <w:r w:rsidRPr="000C3B49">
              <w:rPr>
                <w:rFonts w:cs="Arial"/>
                <w:color w:val="000000"/>
                <w:sz w:val="24"/>
                <w:szCs w:val="24"/>
              </w:rPr>
              <w:t> </w:t>
            </w:r>
          </w:p>
        </w:tc>
      </w:tr>
      <w:tr w:rsidR="000C3B49" w:rsidRPr="000C3B49" w:rsidTr="0047017A">
        <w:trPr>
          <w:trHeight w:val="4146"/>
        </w:trPr>
        <w:tc>
          <w:tcPr>
            <w:tcW w:w="5143" w:type="dxa"/>
            <w:tcBorders>
              <w:top w:val="outset" w:sz="6" w:space="0" w:color="D4D0C8"/>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5"/>
              <w:rPr>
                <w:rFonts w:cs="Arial"/>
                <w:sz w:val="24"/>
                <w:szCs w:val="24"/>
              </w:rPr>
            </w:pPr>
            <w:r w:rsidRPr="000C3B49">
              <w:rPr>
                <w:rFonts w:cs="Arial"/>
                <w:b/>
                <w:i/>
                <w:sz w:val="24"/>
                <w:szCs w:val="24"/>
              </w:rPr>
              <w:t>Analysis and argument:</w:t>
            </w:r>
            <w:r w:rsidRPr="000C3B49">
              <w:rPr>
                <w:rFonts w:cs="Arial"/>
                <w:sz w:val="24"/>
                <w:szCs w:val="24"/>
              </w:rPr>
              <w:t xml:space="preserve">  Provides a well-developed argument supported by an informed examination of relevant literature (20%)</w:t>
            </w:r>
          </w:p>
          <w:p w:rsidR="000C3B49" w:rsidRPr="000C3B49" w:rsidRDefault="000C3B49" w:rsidP="000C3B49">
            <w:pPr>
              <w:pStyle w:val="a3"/>
              <w:numPr>
                <w:ilvl w:val="0"/>
                <w:numId w:val="2"/>
              </w:numPr>
              <w:rPr>
                <w:rFonts w:cs="Arial"/>
                <w:sz w:val="24"/>
                <w:szCs w:val="24"/>
              </w:rPr>
            </w:pPr>
            <w:r w:rsidRPr="000C3B49">
              <w:rPr>
                <w:rFonts w:cs="Arial"/>
                <w:sz w:val="24"/>
                <w:szCs w:val="24"/>
              </w:rPr>
              <w:t>Identify the key factors that foster family and staff engagement in RACF care</w:t>
            </w:r>
          </w:p>
          <w:p w:rsidR="000C3B49" w:rsidRPr="000C3B49" w:rsidRDefault="000C3B49" w:rsidP="000C3B49">
            <w:pPr>
              <w:pStyle w:val="a3"/>
              <w:numPr>
                <w:ilvl w:val="0"/>
                <w:numId w:val="2"/>
              </w:numPr>
              <w:rPr>
                <w:rFonts w:cs="Arial"/>
                <w:sz w:val="24"/>
                <w:szCs w:val="24"/>
              </w:rPr>
            </w:pPr>
            <w:r w:rsidRPr="000C3B49">
              <w:rPr>
                <w:rFonts w:cs="Arial"/>
                <w:sz w:val="24"/>
                <w:szCs w:val="24"/>
              </w:rPr>
              <w:t xml:space="preserve">Examine how staff and family can work together in partnership </w:t>
            </w:r>
          </w:p>
          <w:p w:rsidR="000C3B49" w:rsidRPr="000C3B49" w:rsidRDefault="000C3B49" w:rsidP="000C3B49">
            <w:pPr>
              <w:pStyle w:val="a3"/>
              <w:numPr>
                <w:ilvl w:val="0"/>
                <w:numId w:val="2"/>
              </w:numPr>
              <w:rPr>
                <w:rFonts w:cs="Arial"/>
                <w:sz w:val="24"/>
                <w:szCs w:val="24"/>
              </w:rPr>
            </w:pPr>
            <w:r w:rsidRPr="000C3B49">
              <w:rPr>
                <w:rFonts w:cs="Arial"/>
                <w:sz w:val="24"/>
                <w:szCs w:val="24"/>
              </w:rPr>
              <w:t>Describe the mutual benefits of collaborative engagement on well-being and quality of life</w:t>
            </w:r>
          </w:p>
          <w:p w:rsidR="000C3B49" w:rsidRPr="000C3B49" w:rsidRDefault="000C3B49" w:rsidP="0047017A">
            <w:pPr>
              <w:pStyle w:val="a3"/>
              <w:numPr>
                <w:ilvl w:val="0"/>
                <w:numId w:val="2"/>
              </w:numPr>
              <w:rPr>
                <w:rFonts w:cs="Times New Roman"/>
                <w:sz w:val="24"/>
                <w:szCs w:val="24"/>
              </w:rPr>
            </w:pPr>
            <w:r w:rsidRPr="000C3B49">
              <w:rPr>
                <w:rFonts w:cs="Arial"/>
                <w:sz w:val="24"/>
                <w:szCs w:val="24"/>
              </w:rPr>
              <w:t xml:space="preserve">Examine potential barriers and </w:t>
            </w:r>
            <w:r w:rsidR="0047017A">
              <w:rPr>
                <w:rFonts w:cs="Arial"/>
                <w:sz w:val="24"/>
                <w:szCs w:val="24"/>
              </w:rPr>
              <w:t xml:space="preserve">positive </w:t>
            </w:r>
            <w:r w:rsidRPr="000C3B49">
              <w:rPr>
                <w:rFonts w:cs="Arial"/>
                <w:sz w:val="24"/>
                <w:szCs w:val="24"/>
              </w:rPr>
              <w:t>management of  collaborative care involving family and staff in RACFs</w:t>
            </w:r>
          </w:p>
        </w:tc>
        <w:tc>
          <w:tcPr>
            <w:tcW w:w="42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p>
        </w:tc>
        <w:tc>
          <w:tcPr>
            <w:tcW w:w="28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425"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4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0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jc w:val="both"/>
              <w:rPr>
                <w:rFonts w:cs="Arial"/>
                <w:sz w:val="24"/>
                <w:szCs w:val="24"/>
              </w:rPr>
            </w:pPr>
            <w:r w:rsidRPr="000C3B49">
              <w:rPr>
                <w:rFonts w:cs="Arial"/>
                <w:color w:val="000000"/>
                <w:sz w:val="24"/>
                <w:szCs w:val="24"/>
              </w:rPr>
              <w:t> </w:t>
            </w:r>
          </w:p>
        </w:tc>
      </w:tr>
      <w:tr w:rsidR="000C3B49" w:rsidRPr="000C3B49" w:rsidTr="008658FB">
        <w:tc>
          <w:tcPr>
            <w:tcW w:w="5143" w:type="dxa"/>
            <w:tcBorders>
              <w:top w:val="outset" w:sz="6" w:space="0" w:color="D4D0C8"/>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5"/>
              <w:rPr>
                <w:rFonts w:cs="Arial"/>
                <w:sz w:val="24"/>
                <w:szCs w:val="24"/>
              </w:rPr>
            </w:pPr>
            <w:r w:rsidRPr="000C3B49">
              <w:rPr>
                <w:rFonts w:cs="Arial"/>
                <w:sz w:val="24"/>
                <w:szCs w:val="24"/>
              </w:rPr>
              <w:t xml:space="preserve">Demonstrates a satisfactory </w:t>
            </w:r>
            <w:r w:rsidRPr="000C3B49">
              <w:rPr>
                <w:rFonts w:cs="Arial"/>
                <w:b/>
                <w:i/>
                <w:sz w:val="24"/>
                <w:szCs w:val="24"/>
              </w:rPr>
              <w:t>literacy standard</w:t>
            </w:r>
            <w:r w:rsidRPr="000C3B49">
              <w:rPr>
                <w:rFonts w:cs="Arial"/>
                <w:sz w:val="24"/>
                <w:szCs w:val="24"/>
              </w:rPr>
              <w:t xml:space="preserve"> (2.5%)</w:t>
            </w:r>
          </w:p>
          <w:p w:rsidR="000C3B49" w:rsidRPr="000C3B49" w:rsidRDefault="000C3B49" w:rsidP="000C3B49">
            <w:pPr>
              <w:pStyle w:val="a3"/>
              <w:numPr>
                <w:ilvl w:val="0"/>
                <w:numId w:val="3"/>
              </w:numPr>
              <w:spacing w:after="0" w:line="240" w:lineRule="atLeast"/>
              <w:rPr>
                <w:rFonts w:cs="Arial"/>
                <w:sz w:val="24"/>
                <w:szCs w:val="24"/>
              </w:rPr>
            </w:pPr>
            <w:r w:rsidRPr="000C3B49">
              <w:rPr>
                <w:rFonts w:cs="Arial"/>
                <w:sz w:val="24"/>
                <w:szCs w:val="24"/>
              </w:rPr>
              <w:t>Uses correct spelling, grammar and non-sexist language</w:t>
            </w:r>
          </w:p>
        </w:tc>
        <w:tc>
          <w:tcPr>
            <w:tcW w:w="42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28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425"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4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0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jc w:val="both"/>
              <w:rPr>
                <w:rFonts w:cs="Arial"/>
                <w:sz w:val="24"/>
                <w:szCs w:val="24"/>
              </w:rPr>
            </w:pPr>
            <w:r w:rsidRPr="000C3B49">
              <w:rPr>
                <w:rFonts w:cs="Arial"/>
                <w:color w:val="000000"/>
                <w:sz w:val="24"/>
                <w:szCs w:val="24"/>
              </w:rPr>
              <w:t> </w:t>
            </w:r>
          </w:p>
        </w:tc>
      </w:tr>
      <w:tr w:rsidR="000C3B49" w:rsidRPr="000C3B49" w:rsidTr="008658FB">
        <w:tc>
          <w:tcPr>
            <w:tcW w:w="5143" w:type="dxa"/>
            <w:tcBorders>
              <w:top w:val="outset" w:sz="6" w:space="0" w:color="D4D0C8"/>
              <w:left w:val="single" w:sz="8" w:space="0" w:color="auto"/>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tabs>
                <w:tab w:val="left" w:pos="500"/>
              </w:tabs>
              <w:spacing w:line="240" w:lineRule="atLeast"/>
              <w:ind w:left="15"/>
              <w:rPr>
                <w:rFonts w:cs="Arial"/>
                <w:sz w:val="24"/>
                <w:szCs w:val="24"/>
              </w:rPr>
            </w:pPr>
            <w:r w:rsidRPr="000C3B49">
              <w:rPr>
                <w:rFonts w:cs="Arial"/>
                <w:b/>
                <w:i/>
                <w:sz w:val="24"/>
                <w:szCs w:val="24"/>
              </w:rPr>
              <w:t>Scholarly presentation</w:t>
            </w:r>
            <w:r w:rsidRPr="000C3B49">
              <w:rPr>
                <w:rFonts w:cs="Arial"/>
                <w:sz w:val="24"/>
                <w:szCs w:val="24"/>
              </w:rPr>
              <w:t xml:space="preserve"> of the essay (2.5%)</w:t>
            </w:r>
          </w:p>
          <w:p w:rsidR="000C3B49" w:rsidRPr="000C3B49" w:rsidRDefault="000C3B49" w:rsidP="000C3B49">
            <w:pPr>
              <w:pStyle w:val="a3"/>
              <w:numPr>
                <w:ilvl w:val="0"/>
                <w:numId w:val="3"/>
              </w:numPr>
              <w:spacing w:after="0" w:line="240" w:lineRule="atLeast"/>
              <w:rPr>
                <w:rFonts w:cs="Arial"/>
                <w:sz w:val="24"/>
                <w:szCs w:val="24"/>
              </w:rPr>
            </w:pPr>
            <w:r w:rsidRPr="000C3B49">
              <w:rPr>
                <w:rFonts w:cs="Arial"/>
                <w:sz w:val="24"/>
                <w:szCs w:val="24"/>
              </w:rPr>
              <w:t>Well-constructed responses to the reflective questions</w:t>
            </w:r>
          </w:p>
          <w:p w:rsidR="000C3B49" w:rsidRPr="000C3B49" w:rsidRDefault="000C3B49" w:rsidP="000C3B49">
            <w:pPr>
              <w:pStyle w:val="a3"/>
              <w:numPr>
                <w:ilvl w:val="0"/>
                <w:numId w:val="3"/>
              </w:numPr>
              <w:spacing w:after="0" w:line="240" w:lineRule="atLeast"/>
              <w:rPr>
                <w:rFonts w:cs="Arial"/>
                <w:sz w:val="24"/>
                <w:szCs w:val="24"/>
              </w:rPr>
            </w:pPr>
            <w:r w:rsidRPr="000C3B49">
              <w:rPr>
                <w:rFonts w:cs="Arial"/>
                <w:sz w:val="24"/>
                <w:szCs w:val="24"/>
              </w:rPr>
              <w:t>Correct use of APA (6</w:t>
            </w:r>
            <w:r w:rsidRPr="000C3B49">
              <w:rPr>
                <w:rFonts w:cs="Arial"/>
                <w:sz w:val="24"/>
                <w:szCs w:val="24"/>
                <w:vertAlign w:val="superscript"/>
              </w:rPr>
              <w:t>th</w:t>
            </w:r>
            <w:r w:rsidRPr="000C3B49">
              <w:rPr>
                <w:rFonts w:cs="Arial"/>
                <w:sz w:val="24"/>
                <w:szCs w:val="24"/>
              </w:rPr>
              <w:t xml:space="preserve"> edition) for in-text referencing and reference list</w:t>
            </w:r>
          </w:p>
        </w:tc>
        <w:tc>
          <w:tcPr>
            <w:tcW w:w="42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28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425"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46"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spacing w:line="240" w:lineRule="atLeast"/>
              <w:ind w:left="108" w:right="108"/>
              <w:jc w:val="both"/>
              <w:rPr>
                <w:rFonts w:cs="Arial"/>
                <w:sz w:val="24"/>
                <w:szCs w:val="24"/>
              </w:rPr>
            </w:pPr>
            <w:r w:rsidRPr="000C3B49">
              <w:rPr>
                <w:rFonts w:cs="Arial"/>
                <w:color w:val="000000"/>
                <w:sz w:val="24"/>
                <w:szCs w:val="24"/>
              </w:rPr>
              <w:t> </w:t>
            </w:r>
          </w:p>
        </w:tc>
        <w:tc>
          <w:tcPr>
            <w:tcW w:w="303" w:type="dxa"/>
            <w:tcBorders>
              <w:top w:val="outset" w:sz="6" w:space="0" w:color="D4D0C8"/>
              <w:left w:val="outset" w:sz="6" w:space="0" w:color="D4D0C8"/>
              <w:bottom w:val="single" w:sz="8" w:space="0" w:color="auto"/>
              <w:right w:val="single" w:sz="8" w:space="0" w:color="auto"/>
            </w:tcBorders>
            <w:shd w:val="clear" w:color="auto" w:fill="auto"/>
            <w:tcMar>
              <w:top w:w="0" w:type="dxa"/>
              <w:left w:w="40" w:type="dxa"/>
              <w:bottom w:w="0" w:type="dxa"/>
              <w:right w:w="40" w:type="dxa"/>
            </w:tcMar>
          </w:tcPr>
          <w:p w:rsidR="000C3B49" w:rsidRPr="000C3B49" w:rsidRDefault="000C3B49" w:rsidP="008658FB">
            <w:pPr>
              <w:jc w:val="both"/>
              <w:rPr>
                <w:rFonts w:cs="Arial"/>
                <w:sz w:val="24"/>
                <w:szCs w:val="24"/>
              </w:rPr>
            </w:pPr>
            <w:r w:rsidRPr="000C3B49">
              <w:rPr>
                <w:rFonts w:cs="Arial"/>
                <w:color w:val="000000"/>
                <w:sz w:val="24"/>
                <w:szCs w:val="24"/>
              </w:rPr>
              <w:t> </w:t>
            </w:r>
          </w:p>
        </w:tc>
      </w:tr>
    </w:tbl>
    <w:p w:rsidR="000C3B49" w:rsidRPr="000C3B49" w:rsidRDefault="000C3B49" w:rsidP="000C3B49">
      <w:pPr>
        <w:rPr>
          <w:rFonts w:cs="Arial"/>
          <w:b/>
          <w:sz w:val="24"/>
          <w:szCs w:val="24"/>
        </w:rPr>
      </w:pPr>
    </w:p>
    <w:p w:rsidR="000C3B49" w:rsidRDefault="000C3B49" w:rsidP="000C3B49">
      <w:pPr>
        <w:rPr>
          <w:rFonts w:ascii="Arial" w:hAnsi="Arial" w:cs="Arial"/>
          <w:sz w:val="20"/>
          <w:szCs w:val="20"/>
        </w:rPr>
      </w:pPr>
      <w:r w:rsidRPr="000C3B49">
        <w:rPr>
          <w:rFonts w:cs="Arial"/>
          <w:b/>
          <w:sz w:val="24"/>
          <w:szCs w:val="24"/>
        </w:rPr>
        <w:t>Comments/ Mark ( /35)</w:t>
      </w:r>
      <w:bookmarkStart w:id="0" w:name="_GoBack"/>
      <w:bookmarkEnd w:id="0"/>
    </w:p>
    <w:p w:rsidR="000C3B49" w:rsidRDefault="000C3B49" w:rsidP="000C3B49">
      <w:pPr>
        <w:rPr>
          <w:rFonts w:ascii="Arial" w:hAnsi="Arial" w:cs="Arial"/>
          <w:sz w:val="20"/>
          <w:szCs w:val="20"/>
        </w:rPr>
      </w:pPr>
    </w:p>
    <w:p w:rsidR="000C3B49" w:rsidRDefault="000C3B49" w:rsidP="000C3B49">
      <w:pPr>
        <w:rPr>
          <w:rFonts w:ascii="Arial" w:hAnsi="Arial" w:cs="Arial"/>
          <w:sz w:val="20"/>
          <w:szCs w:val="20"/>
        </w:rPr>
      </w:pPr>
    </w:p>
    <w:p w:rsidR="009E1CF8" w:rsidRDefault="009E1CF8"/>
    <w:sectPr w:rsidR="009E1CF8" w:rsidSect="0096028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D60" w:rsidRDefault="00D30D60" w:rsidP="006F0A67">
      <w:pPr>
        <w:spacing w:after="0" w:line="240" w:lineRule="auto"/>
      </w:pPr>
      <w:r>
        <w:separator/>
      </w:r>
    </w:p>
  </w:endnote>
  <w:endnote w:type="continuationSeparator" w:id="0">
    <w:p w:rsidR="00D30D60" w:rsidRDefault="00D30D60" w:rsidP="006F0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41755"/>
      <w:docPartObj>
        <w:docPartGallery w:val="Page Numbers (Bottom of Page)"/>
        <w:docPartUnique/>
      </w:docPartObj>
    </w:sdtPr>
    <w:sdtEndPr>
      <w:rPr>
        <w:noProof/>
      </w:rPr>
    </w:sdtEndPr>
    <w:sdtContent>
      <w:p w:rsidR="006F0A67" w:rsidRDefault="00960281">
        <w:pPr>
          <w:pStyle w:val="a5"/>
          <w:jc w:val="center"/>
        </w:pPr>
        <w:r>
          <w:fldChar w:fldCharType="begin"/>
        </w:r>
        <w:r w:rsidR="006F0A67">
          <w:instrText xml:space="preserve"> PAGE   \* MERGEFORMAT </w:instrText>
        </w:r>
        <w:r>
          <w:fldChar w:fldCharType="separate"/>
        </w:r>
        <w:r w:rsidR="00EE0EAA">
          <w:rPr>
            <w:noProof/>
          </w:rPr>
          <w:t>1</w:t>
        </w:r>
        <w:r>
          <w:rPr>
            <w:noProof/>
          </w:rPr>
          <w:fldChar w:fldCharType="end"/>
        </w:r>
      </w:p>
    </w:sdtContent>
  </w:sdt>
  <w:p w:rsidR="006F0A67" w:rsidRDefault="006F0A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D60" w:rsidRDefault="00D30D60" w:rsidP="006F0A67">
      <w:pPr>
        <w:spacing w:after="0" w:line="240" w:lineRule="auto"/>
      </w:pPr>
      <w:r>
        <w:separator/>
      </w:r>
    </w:p>
  </w:footnote>
  <w:footnote w:type="continuationSeparator" w:id="0">
    <w:p w:rsidR="00D30D60" w:rsidRDefault="00D30D60" w:rsidP="006F0A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1C34"/>
    <w:multiLevelType w:val="hybridMultilevel"/>
    <w:tmpl w:val="68866C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31AA732E"/>
    <w:multiLevelType w:val="hybridMultilevel"/>
    <w:tmpl w:val="0CFA1E78"/>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2">
    <w:nsid w:val="602234E7"/>
    <w:multiLevelType w:val="hybridMultilevel"/>
    <w:tmpl w:val="F26EFCE4"/>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wNzW0NDU1NrUwNbA0MzRV0lEKTi0uzszPAykwrAUArwjpUywAAAA="/>
  </w:docVars>
  <w:rsids>
    <w:rsidRoot w:val="009E1CF8"/>
    <w:rsid w:val="00003D5C"/>
    <w:rsid w:val="000C3B49"/>
    <w:rsid w:val="002A1185"/>
    <w:rsid w:val="0047017A"/>
    <w:rsid w:val="004868DF"/>
    <w:rsid w:val="006F0A67"/>
    <w:rsid w:val="007F5BB1"/>
    <w:rsid w:val="00960281"/>
    <w:rsid w:val="009E1CF8"/>
    <w:rsid w:val="00A25E64"/>
    <w:rsid w:val="00CA5C32"/>
    <w:rsid w:val="00D30D60"/>
    <w:rsid w:val="00DF0285"/>
    <w:rsid w:val="00E51740"/>
    <w:rsid w:val="00EE0E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A67"/>
    <w:pPr>
      <w:ind w:left="720"/>
      <w:contextualSpacing/>
    </w:pPr>
  </w:style>
  <w:style w:type="paragraph" w:styleId="a4">
    <w:name w:val="header"/>
    <w:basedOn w:val="a"/>
    <w:link w:val="Char"/>
    <w:uiPriority w:val="99"/>
    <w:unhideWhenUsed/>
    <w:rsid w:val="006F0A67"/>
    <w:pPr>
      <w:tabs>
        <w:tab w:val="center" w:pos="4513"/>
        <w:tab w:val="right" w:pos="9026"/>
      </w:tabs>
      <w:spacing w:after="0" w:line="240" w:lineRule="auto"/>
    </w:pPr>
  </w:style>
  <w:style w:type="character" w:customStyle="1" w:styleId="Char">
    <w:name w:val="رأس صفحة Char"/>
    <w:basedOn w:val="a0"/>
    <w:link w:val="a4"/>
    <w:uiPriority w:val="99"/>
    <w:rsid w:val="006F0A67"/>
  </w:style>
  <w:style w:type="paragraph" w:styleId="a5">
    <w:name w:val="footer"/>
    <w:basedOn w:val="a"/>
    <w:link w:val="Char0"/>
    <w:uiPriority w:val="99"/>
    <w:unhideWhenUsed/>
    <w:rsid w:val="006F0A67"/>
    <w:pPr>
      <w:tabs>
        <w:tab w:val="center" w:pos="4513"/>
        <w:tab w:val="right" w:pos="9026"/>
      </w:tabs>
      <w:spacing w:after="0" w:line="240" w:lineRule="auto"/>
    </w:pPr>
  </w:style>
  <w:style w:type="character" w:customStyle="1" w:styleId="Char0">
    <w:name w:val="تذييل صفحة Char"/>
    <w:basedOn w:val="a0"/>
    <w:link w:val="a5"/>
    <w:uiPriority w:val="99"/>
    <w:rsid w:val="006F0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67"/>
    <w:pPr>
      <w:ind w:left="720"/>
      <w:contextualSpacing/>
    </w:pPr>
  </w:style>
  <w:style w:type="paragraph" w:styleId="Header">
    <w:name w:val="header"/>
    <w:basedOn w:val="Normal"/>
    <w:link w:val="HeaderChar"/>
    <w:uiPriority w:val="99"/>
    <w:unhideWhenUsed/>
    <w:rsid w:val="006F0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A67"/>
  </w:style>
  <w:style w:type="paragraph" w:styleId="Footer">
    <w:name w:val="footer"/>
    <w:basedOn w:val="Normal"/>
    <w:link w:val="FooterChar"/>
    <w:uiPriority w:val="99"/>
    <w:unhideWhenUsed/>
    <w:rsid w:val="006F0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A6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dc:creator>
  <cp:lastModifiedBy>SONY</cp:lastModifiedBy>
  <cp:revision>3</cp:revision>
  <dcterms:created xsi:type="dcterms:W3CDTF">2015-02-19T02:59:00Z</dcterms:created>
  <dcterms:modified xsi:type="dcterms:W3CDTF">2015-05-04T06:48:00Z</dcterms:modified>
</cp:coreProperties>
</file>